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12" w:rsidRPr="00AD3FB5" w:rsidRDefault="00195E12" w:rsidP="00195E12">
      <w:pPr>
        <w:spacing w:before="120" w:after="120" w:line="240" w:lineRule="exact"/>
        <w:jc w:val="center"/>
        <w:rPr>
          <w:b/>
          <w:bCs/>
          <w:sz w:val="24"/>
          <w:szCs w:val="24"/>
        </w:rPr>
      </w:pPr>
      <w:r w:rsidRPr="00AD3FB5">
        <w:rPr>
          <w:rFonts w:ascii="Times New Roman" w:hAnsi="Times New Roman"/>
          <w:b/>
          <w:bCs/>
          <w:sz w:val="24"/>
          <w:szCs w:val="24"/>
        </w:rPr>
        <w:t>Оборот розничной торговли пищевыми продуктами,</w:t>
      </w:r>
      <w:r w:rsidRPr="00AD3FB5">
        <w:rPr>
          <w:rFonts w:ascii="Times New Roman" w:hAnsi="Times New Roman"/>
          <w:b/>
          <w:bCs/>
          <w:sz w:val="24"/>
          <w:szCs w:val="24"/>
        </w:rPr>
        <w:br/>
        <w:t xml:space="preserve"> включая напитки, и табачными изделиями, </w:t>
      </w:r>
      <w:r w:rsidRPr="00AD3FB5">
        <w:rPr>
          <w:rFonts w:ascii="Times New Roman" w:hAnsi="Times New Roman"/>
          <w:b/>
          <w:bCs/>
          <w:sz w:val="24"/>
          <w:szCs w:val="24"/>
        </w:rPr>
        <w:br/>
        <w:t>непродовольственными товарами в январе-</w:t>
      </w:r>
      <w:r w:rsidR="00DA43AE">
        <w:rPr>
          <w:rFonts w:ascii="Times New Roman" w:hAnsi="Times New Roman"/>
          <w:b/>
          <w:bCs/>
          <w:sz w:val="24"/>
          <w:szCs w:val="24"/>
        </w:rPr>
        <w:t>марте</w:t>
      </w:r>
      <w:r w:rsidRPr="00AD3FB5">
        <w:rPr>
          <w:rFonts w:ascii="Times New Roman" w:hAnsi="Times New Roman"/>
          <w:b/>
          <w:bCs/>
          <w:sz w:val="24"/>
          <w:szCs w:val="24"/>
        </w:rPr>
        <w:t xml:space="preserve"> 2021 г.</w:t>
      </w:r>
      <w:r w:rsidRPr="00AD3FB5">
        <w:rPr>
          <w:rFonts w:ascii="Times New Roman" w:hAnsi="Times New Roman"/>
          <w:b/>
          <w:bCs/>
          <w:sz w:val="24"/>
          <w:szCs w:val="24"/>
        </w:rPr>
        <w:br/>
      </w:r>
      <w:r w:rsidRPr="00AD3FB5">
        <w:rPr>
          <w:rFonts w:ascii="Times New Roman" w:hAnsi="Times New Roman"/>
          <w:bCs/>
          <w:sz w:val="24"/>
          <w:szCs w:val="24"/>
        </w:rPr>
        <w:t>миллионов рублей</w:t>
      </w:r>
    </w:p>
    <w:p w:rsidR="00C215A6" w:rsidRPr="00B51166" w:rsidRDefault="00C215A6" w:rsidP="007C700B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15A6" w:rsidRDefault="00195E12" w:rsidP="007C700B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5E1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490210" cy="2255520"/>
            <wp:effectExtent l="1905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215A6" w:rsidRDefault="00C215A6" w:rsidP="007C700B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C215A6" w:rsidSect="0037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00B"/>
    <w:rsid w:val="00020112"/>
    <w:rsid w:val="000539A6"/>
    <w:rsid w:val="00075C4F"/>
    <w:rsid w:val="00077C33"/>
    <w:rsid w:val="000C5FFF"/>
    <w:rsid w:val="000E5093"/>
    <w:rsid w:val="00117E22"/>
    <w:rsid w:val="0013444C"/>
    <w:rsid w:val="0015003D"/>
    <w:rsid w:val="00161599"/>
    <w:rsid w:val="00174CAD"/>
    <w:rsid w:val="00195E12"/>
    <w:rsid w:val="00197BF1"/>
    <w:rsid w:val="001C0C3F"/>
    <w:rsid w:val="001F4B0D"/>
    <w:rsid w:val="001F6423"/>
    <w:rsid w:val="00203C5E"/>
    <w:rsid w:val="00211317"/>
    <w:rsid w:val="0027403E"/>
    <w:rsid w:val="0028410C"/>
    <w:rsid w:val="002B6C2B"/>
    <w:rsid w:val="00311A8E"/>
    <w:rsid w:val="00320359"/>
    <w:rsid w:val="00321F00"/>
    <w:rsid w:val="003427F1"/>
    <w:rsid w:val="00357A22"/>
    <w:rsid w:val="00376D3F"/>
    <w:rsid w:val="00384935"/>
    <w:rsid w:val="00410373"/>
    <w:rsid w:val="00444F49"/>
    <w:rsid w:val="00477BB7"/>
    <w:rsid w:val="00501CB0"/>
    <w:rsid w:val="00521007"/>
    <w:rsid w:val="0053749B"/>
    <w:rsid w:val="005652C0"/>
    <w:rsid w:val="0059053E"/>
    <w:rsid w:val="005A1F05"/>
    <w:rsid w:val="005B2408"/>
    <w:rsid w:val="005D53DB"/>
    <w:rsid w:val="00630457"/>
    <w:rsid w:val="0065439D"/>
    <w:rsid w:val="00654F7B"/>
    <w:rsid w:val="006A6B71"/>
    <w:rsid w:val="00720821"/>
    <w:rsid w:val="007A171D"/>
    <w:rsid w:val="007C700B"/>
    <w:rsid w:val="008278AB"/>
    <w:rsid w:val="00870499"/>
    <w:rsid w:val="008B1D6B"/>
    <w:rsid w:val="008F6072"/>
    <w:rsid w:val="00920F49"/>
    <w:rsid w:val="0093404A"/>
    <w:rsid w:val="009507BA"/>
    <w:rsid w:val="00974B84"/>
    <w:rsid w:val="009D4B96"/>
    <w:rsid w:val="009E273E"/>
    <w:rsid w:val="00A15579"/>
    <w:rsid w:val="00A57B1E"/>
    <w:rsid w:val="00A64A79"/>
    <w:rsid w:val="00AA1776"/>
    <w:rsid w:val="00AD3FB5"/>
    <w:rsid w:val="00AD67B9"/>
    <w:rsid w:val="00B034B5"/>
    <w:rsid w:val="00B05839"/>
    <w:rsid w:val="00B51166"/>
    <w:rsid w:val="00B73CC9"/>
    <w:rsid w:val="00BA0DBB"/>
    <w:rsid w:val="00BB7298"/>
    <w:rsid w:val="00BD2C02"/>
    <w:rsid w:val="00C01D49"/>
    <w:rsid w:val="00C1322E"/>
    <w:rsid w:val="00C215A6"/>
    <w:rsid w:val="00C4000B"/>
    <w:rsid w:val="00C979D9"/>
    <w:rsid w:val="00CA3126"/>
    <w:rsid w:val="00CE7C7E"/>
    <w:rsid w:val="00CF0FAC"/>
    <w:rsid w:val="00CF487A"/>
    <w:rsid w:val="00D10441"/>
    <w:rsid w:val="00D106FD"/>
    <w:rsid w:val="00D33558"/>
    <w:rsid w:val="00D40C04"/>
    <w:rsid w:val="00D6511B"/>
    <w:rsid w:val="00D73024"/>
    <w:rsid w:val="00D77C5E"/>
    <w:rsid w:val="00D84BDF"/>
    <w:rsid w:val="00D86FB9"/>
    <w:rsid w:val="00DA17C7"/>
    <w:rsid w:val="00DA43AE"/>
    <w:rsid w:val="00DF0D94"/>
    <w:rsid w:val="00E33296"/>
    <w:rsid w:val="00E47BD4"/>
    <w:rsid w:val="00E51F16"/>
    <w:rsid w:val="00E5256F"/>
    <w:rsid w:val="00E56552"/>
    <w:rsid w:val="00E65E03"/>
    <w:rsid w:val="00E92462"/>
    <w:rsid w:val="00EB14AA"/>
    <w:rsid w:val="00EC63D4"/>
    <w:rsid w:val="00ED4344"/>
    <w:rsid w:val="00EF40EB"/>
    <w:rsid w:val="00EF7255"/>
    <w:rsid w:val="00F02600"/>
    <w:rsid w:val="00F10FDC"/>
    <w:rsid w:val="00F43A47"/>
    <w:rsid w:val="00F90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0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заголовок 33"/>
    <w:basedOn w:val="a"/>
    <w:next w:val="a"/>
    <w:rsid w:val="007C700B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C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00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1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floor>
      <c:spPr>
        <a:solidFill>
          <a:schemeClr val="bg1">
            <a:lumMod val="65000"/>
          </a:schemeClr>
        </a:solidFill>
        <a:ln w="3175">
          <a:solidFill>
            <a:schemeClr val="tx1"/>
          </a:solidFill>
        </a:ln>
      </c:spPr>
    </c:floor>
    <c:sideWall>
      <c:spPr>
        <a:noFill/>
        <a:ln>
          <a:noFill/>
        </a:ln>
      </c:spPr>
    </c:sideWall>
    <c:backWall>
      <c:spPr>
        <a:noFill/>
        <a:ln>
          <a:noFill/>
        </a:ln>
      </c:spPr>
    </c:backWall>
    <c:plotArea>
      <c:layout>
        <c:manualLayout>
          <c:layoutTarget val="inner"/>
          <c:xMode val="edge"/>
          <c:yMode val="edge"/>
          <c:x val="7.9157081423115297E-2"/>
          <c:y val="0.21877131931542326"/>
          <c:w val="0.84433945756781248"/>
          <c:h val="0.558249447357363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млн рублей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/>
          </c:spPr>
          <c:explosion val="25"/>
          <c:dPt>
            <c:idx val="0"/>
            <c:explosion val="13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/>
            </c:spPr>
          </c:dPt>
          <c:dPt>
            <c:idx val="1"/>
            <c:explosion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/>
            </c:spPr>
          </c:dPt>
          <c:dLbls>
            <c:dLbl>
              <c:idx val="0"/>
              <c:layout>
                <c:manualLayout>
                  <c:x val="-6.0129940384793981E-2"/>
                  <c:y val="-0.3388247499467977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691793,7   (50,9%)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8.0962294702752693E-2"/>
                  <c:y val="-0.184821238561396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668028,7   (49,1%)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Пищевые продукты, включая напитки, и табачные изделия</c:v>
                </c:pt>
                <c:pt idx="1">
                  <c:v>Непродовольственные товары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691793.7</c:v>
                </c:pt>
                <c:pt idx="1">
                  <c:v>668028.69999999925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Пищевые продукты, включая напитки, и табачные изделия</c:v>
                </c:pt>
                <c:pt idx="1">
                  <c:v>Непродовольственные товары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50.9</c:v>
                </c:pt>
                <c:pt idx="1">
                  <c:v>49.1</c:v>
                </c:pt>
              </c:numCache>
            </c:numRef>
          </c:val>
        </c:ser>
      </c:pie3DChart>
      <c:spPr>
        <a:noFill/>
      </c:spPr>
    </c:plotArea>
    <c:legend>
      <c:legendPos val="b"/>
      <c:layout>
        <c:manualLayout>
          <c:xMode val="edge"/>
          <c:yMode val="edge"/>
          <c:x val="0.15263013998250224"/>
          <c:y val="0.75440717548101766"/>
          <c:w val="0.60635549459857074"/>
          <c:h val="0.24559303397886117"/>
        </c:manualLayout>
      </c:layout>
      <c:txPr>
        <a:bodyPr/>
        <a:lstStyle/>
        <a:p>
          <a:pPr rtl="0"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0.7484</cdr:x>
      <cdr:y>0.04234</cdr:y>
    </cdr:from>
    <cdr:to>
      <cdr:x>0.98077</cdr:x>
      <cdr:y>0.13106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106009" y="123084"/>
          <a:ext cx="1274884" cy="25791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900" b="0" i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0.18806</cdr:x>
      <cdr:y>0.09037</cdr:y>
    </cdr:from>
    <cdr:to>
      <cdr:x>0.32963</cdr:x>
      <cdr:y>0.17821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032489" y="203833"/>
          <a:ext cx="777249" cy="19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0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0.85913</cdr:x>
      <cdr:y>0.07348</cdr:y>
    </cdr:from>
    <cdr:to>
      <cdr:x>0.99931</cdr:x>
      <cdr:y>0.17145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716782" y="165733"/>
          <a:ext cx="769618" cy="22097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14AD0-64CA-4023-B80D-13FA774E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p77_DeevaNV</cp:lastModifiedBy>
  <cp:revision>7</cp:revision>
  <cp:lastPrinted>2021-04-15T07:41:00Z</cp:lastPrinted>
  <dcterms:created xsi:type="dcterms:W3CDTF">2021-03-24T08:22:00Z</dcterms:created>
  <dcterms:modified xsi:type="dcterms:W3CDTF">2021-04-15T07:41:00Z</dcterms:modified>
</cp:coreProperties>
</file>